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0E19" w:rsidRPr="00726672" w:rsidP="00960E19">
      <w:pPr>
        <w:pStyle w:val="Heading1"/>
        <w:ind w:right="140"/>
        <w:jc w:val="right"/>
        <w:rPr>
          <w:b w:val="0"/>
          <w:sz w:val="26"/>
          <w:szCs w:val="26"/>
        </w:rPr>
      </w:pPr>
      <w:r w:rsidRPr="00726672">
        <w:rPr>
          <w:b w:val="0"/>
          <w:sz w:val="26"/>
          <w:szCs w:val="26"/>
        </w:rPr>
        <w:t>Дело № 5-</w:t>
      </w:r>
      <w:r w:rsidRPr="00726672" w:rsidR="001E21A1">
        <w:rPr>
          <w:b w:val="0"/>
          <w:sz w:val="26"/>
          <w:szCs w:val="26"/>
        </w:rPr>
        <w:t>948</w:t>
      </w:r>
      <w:r w:rsidRPr="00726672">
        <w:rPr>
          <w:b w:val="0"/>
          <w:sz w:val="26"/>
          <w:szCs w:val="26"/>
        </w:rPr>
        <w:t>-2103/2023</w:t>
      </w:r>
    </w:p>
    <w:p w:rsidR="00FC5B1E" w:rsidRPr="00726672" w:rsidP="001E21A1">
      <w:pPr>
        <w:jc w:val="right"/>
        <w:rPr>
          <w:sz w:val="26"/>
          <w:szCs w:val="26"/>
        </w:rPr>
      </w:pPr>
      <w:r w:rsidRPr="00726672">
        <w:rPr>
          <w:bCs/>
          <w:sz w:val="26"/>
          <w:szCs w:val="26"/>
        </w:rPr>
        <w:t>86MS0043-01-2024-004869-83</w:t>
      </w:r>
    </w:p>
    <w:p w:rsidR="00960E19" w:rsidRPr="00726672" w:rsidP="00960E19">
      <w:pPr>
        <w:pStyle w:val="Heading1"/>
        <w:ind w:right="140"/>
        <w:jc w:val="center"/>
        <w:rPr>
          <w:b w:val="0"/>
          <w:sz w:val="26"/>
          <w:szCs w:val="26"/>
        </w:rPr>
      </w:pPr>
      <w:r w:rsidRPr="00726672">
        <w:rPr>
          <w:b w:val="0"/>
          <w:sz w:val="26"/>
          <w:szCs w:val="26"/>
        </w:rPr>
        <w:t>ПОСТАНОВЛЕНИЕ</w:t>
      </w:r>
    </w:p>
    <w:p w:rsidR="00960E19" w:rsidRPr="00726672" w:rsidP="00960E19">
      <w:pPr>
        <w:pStyle w:val="Heading2"/>
        <w:spacing w:before="0" w:after="0"/>
        <w:ind w:right="14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26672">
        <w:rPr>
          <w:rFonts w:ascii="Times New Roman" w:hAnsi="Times New Roman" w:cs="Times New Roman"/>
          <w:b w:val="0"/>
          <w:i w:val="0"/>
          <w:sz w:val="26"/>
          <w:szCs w:val="26"/>
        </w:rPr>
        <w:t>по делу об административном правонарушении</w:t>
      </w:r>
    </w:p>
    <w:p w:rsidR="00960E19" w:rsidRPr="00726672" w:rsidP="00960E19">
      <w:pPr>
        <w:spacing w:before="120" w:after="120"/>
        <w:ind w:right="140" w:firstLine="567"/>
        <w:rPr>
          <w:sz w:val="26"/>
          <w:szCs w:val="26"/>
        </w:rPr>
      </w:pPr>
      <w:r w:rsidRPr="00726672">
        <w:rPr>
          <w:sz w:val="26"/>
          <w:szCs w:val="26"/>
        </w:rPr>
        <w:t>город Нижневартовск</w:t>
      </w:r>
      <w:r w:rsidRPr="00726672">
        <w:rPr>
          <w:sz w:val="26"/>
          <w:szCs w:val="26"/>
        </w:rPr>
        <w:tab/>
      </w:r>
      <w:r w:rsidRPr="00726672">
        <w:rPr>
          <w:sz w:val="26"/>
          <w:szCs w:val="26"/>
        </w:rPr>
        <w:tab/>
      </w:r>
      <w:r w:rsidRPr="00726672">
        <w:rPr>
          <w:sz w:val="26"/>
          <w:szCs w:val="26"/>
        </w:rPr>
        <w:tab/>
      </w:r>
      <w:r w:rsidRPr="00726672">
        <w:rPr>
          <w:sz w:val="26"/>
          <w:szCs w:val="26"/>
        </w:rPr>
        <w:tab/>
      </w:r>
      <w:r w:rsidRPr="00726672">
        <w:rPr>
          <w:sz w:val="26"/>
          <w:szCs w:val="26"/>
        </w:rPr>
        <w:tab/>
      </w:r>
      <w:r w:rsidRPr="00726672" w:rsidR="00FC5B1E">
        <w:rPr>
          <w:sz w:val="26"/>
          <w:szCs w:val="26"/>
        </w:rPr>
        <w:t xml:space="preserve">         </w:t>
      </w:r>
      <w:r w:rsidRPr="00726672" w:rsidR="001E21A1">
        <w:rPr>
          <w:sz w:val="26"/>
          <w:szCs w:val="26"/>
        </w:rPr>
        <w:t>29 мая 2024</w:t>
      </w:r>
      <w:r w:rsidRPr="00726672">
        <w:rPr>
          <w:sz w:val="26"/>
          <w:szCs w:val="26"/>
        </w:rPr>
        <w:t xml:space="preserve"> года</w:t>
      </w:r>
    </w:p>
    <w:p w:rsidR="001E21A1" w:rsidRPr="00726672" w:rsidP="00960E19">
      <w:pPr>
        <w:pStyle w:val="BodyText"/>
        <w:ind w:right="140"/>
        <w:rPr>
          <w:sz w:val="26"/>
          <w:szCs w:val="26"/>
        </w:rPr>
      </w:pPr>
      <w:r w:rsidRPr="00726672">
        <w:rPr>
          <w:sz w:val="26"/>
          <w:szCs w:val="26"/>
        </w:rPr>
        <w:t xml:space="preserve">          Мировой судья судебного участка № 3 Нижневартовского</w:t>
      </w:r>
      <w:r w:rsidRPr="00726672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- Югры Дурдело Е.В., находящийся по адресу: ХМАО – Югра, г. Нижневартовск, ул. Нефтяников, д. 6,</w:t>
      </w:r>
    </w:p>
    <w:p w:rsidR="00960E19" w:rsidRPr="00726672" w:rsidP="00960E19">
      <w:pPr>
        <w:pStyle w:val="BodyText"/>
        <w:ind w:right="140"/>
        <w:rPr>
          <w:sz w:val="26"/>
          <w:szCs w:val="26"/>
        </w:rPr>
      </w:pPr>
      <w:r w:rsidRPr="00726672">
        <w:rPr>
          <w:sz w:val="26"/>
          <w:szCs w:val="26"/>
        </w:rPr>
        <w:t xml:space="preserve">         рассмотрев материал об административном правонарушен</w:t>
      </w:r>
      <w:r w:rsidRPr="00726672">
        <w:rPr>
          <w:sz w:val="26"/>
          <w:szCs w:val="26"/>
        </w:rPr>
        <w:t>ии в отношении:</w:t>
      </w:r>
    </w:p>
    <w:p w:rsidR="00960E19" w:rsidRPr="00726672" w:rsidP="00960E19">
      <w:pPr>
        <w:pStyle w:val="BodyText"/>
        <w:ind w:right="140" w:firstLine="539"/>
        <w:rPr>
          <w:b/>
          <w:sz w:val="26"/>
          <w:szCs w:val="26"/>
        </w:rPr>
      </w:pPr>
      <w:r w:rsidRPr="00726672">
        <w:rPr>
          <w:b/>
          <w:sz w:val="26"/>
          <w:szCs w:val="26"/>
        </w:rPr>
        <w:t>Акционерного общества «Самотлорнефтепромхим»</w:t>
      </w:r>
      <w:r w:rsidRPr="00726672">
        <w:rPr>
          <w:sz w:val="26"/>
          <w:szCs w:val="26"/>
        </w:rPr>
        <w:t>,</w:t>
      </w:r>
      <w:r w:rsidRPr="00726672">
        <w:rPr>
          <w:b/>
          <w:bCs/>
          <w:sz w:val="26"/>
          <w:szCs w:val="26"/>
        </w:rPr>
        <w:t xml:space="preserve"> </w:t>
      </w:r>
      <w:r w:rsidRPr="00726672">
        <w:rPr>
          <w:bCs/>
          <w:sz w:val="26"/>
          <w:szCs w:val="26"/>
        </w:rPr>
        <w:t xml:space="preserve">ИНН </w:t>
      </w:r>
      <w:r w:rsidRPr="00726672" w:rsidR="0011469A">
        <w:rPr>
          <w:bCs/>
          <w:sz w:val="26"/>
          <w:szCs w:val="26"/>
        </w:rPr>
        <w:t>8603118208</w:t>
      </w:r>
      <w:r w:rsidRPr="00726672">
        <w:rPr>
          <w:bCs/>
          <w:sz w:val="26"/>
          <w:szCs w:val="26"/>
        </w:rPr>
        <w:t xml:space="preserve">, ОГРН </w:t>
      </w:r>
      <w:r w:rsidRPr="00726672" w:rsidR="0011469A">
        <w:rPr>
          <w:bCs/>
          <w:sz w:val="26"/>
          <w:szCs w:val="26"/>
        </w:rPr>
        <w:t>1048600521408</w:t>
      </w:r>
      <w:r w:rsidRPr="00726672">
        <w:rPr>
          <w:bCs/>
          <w:sz w:val="26"/>
          <w:szCs w:val="26"/>
        </w:rPr>
        <w:t>,</w:t>
      </w:r>
      <w:r w:rsidRPr="00726672">
        <w:rPr>
          <w:b/>
          <w:bCs/>
          <w:sz w:val="26"/>
          <w:szCs w:val="26"/>
        </w:rPr>
        <w:t xml:space="preserve"> </w:t>
      </w:r>
      <w:r w:rsidRPr="00726672">
        <w:rPr>
          <w:bCs/>
          <w:sz w:val="26"/>
          <w:szCs w:val="26"/>
        </w:rPr>
        <w:t>юридический адрес:</w:t>
      </w:r>
      <w:r w:rsidRPr="00726672">
        <w:rPr>
          <w:b/>
          <w:bCs/>
          <w:sz w:val="26"/>
          <w:szCs w:val="26"/>
        </w:rPr>
        <w:t xml:space="preserve"> </w:t>
      </w:r>
      <w:r w:rsidRPr="00726672">
        <w:rPr>
          <w:bCs/>
          <w:sz w:val="26"/>
          <w:szCs w:val="26"/>
        </w:rPr>
        <w:t>628</w:t>
      </w:r>
      <w:r w:rsidRPr="00726672" w:rsidR="0011469A">
        <w:rPr>
          <w:bCs/>
          <w:sz w:val="26"/>
          <w:szCs w:val="26"/>
        </w:rPr>
        <w:t>600</w:t>
      </w:r>
      <w:r w:rsidRPr="00726672">
        <w:rPr>
          <w:bCs/>
          <w:sz w:val="26"/>
          <w:szCs w:val="26"/>
        </w:rPr>
        <w:t xml:space="preserve">, Ханты – Мансийский автономный округ – Югра, гор. </w:t>
      </w:r>
      <w:r w:rsidRPr="00726672" w:rsidR="0011469A">
        <w:rPr>
          <w:bCs/>
          <w:sz w:val="26"/>
          <w:szCs w:val="26"/>
        </w:rPr>
        <w:t>Нижнев</w:t>
      </w:r>
      <w:r w:rsidRPr="00726672" w:rsidR="00FC5B1E">
        <w:rPr>
          <w:bCs/>
          <w:sz w:val="26"/>
          <w:szCs w:val="26"/>
        </w:rPr>
        <w:t>а</w:t>
      </w:r>
      <w:r w:rsidRPr="00726672" w:rsidR="0011469A">
        <w:rPr>
          <w:bCs/>
          <w:sz w:val="26"/>
          <w:szCs w:val="26"/>
        </w:rPr>
        <w:t>ртовск, ул. Индустриальная д. 95 стр. 1.</w:t>
      </w:r>
    </w:p>
    <w:p w:rsidR="00960E19" w:rsidRPr="00726672" w:rsidP="00960E19">
      <w:pPr>
        <w:pStyle w:val="BodyText"/>
        <w:spacing w:before="120" w:after="120"/>
        <w:ind w:right="140" w:firstLine="539"/>
        <w:jc w:val="center"/>
        <w:rPr>
          <w:sz w:val="26"/>
          <w:szCs w:val="26"/>
        </w:rPr>
      </w:pPr>
      <w:r w:rsidRPr="00726672">
        <w:rPr>
          <w:sz w:val="26"/>
          <w:szCs w:val="26"/>
        </w:rPr>
        <w:t>УСТАНОВИЛ:</w:t>
      </w:r>
    </w:p>
    <w:p w:rsidR="00817445" w:rsidRPr="00726672" w:rsidP="0081744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В ходе проведения </w:t>
      </w:r>
      <w:r w:rsidRPr="00726672">
        <w:rPr>
          <w:sz w:val="26"/>
          <w:szCs w:val="26"/>
        </w:rPr>
        <w:t>государственным инспектором г. Нижневартовска по пожарному надзору внеплановой проверки</w:t>
      </w:r>
      <w:r w:rsidRPr="00726672" w:rsidR="00FC5B1E">
        <w:rPr>
          <w:sz w:val="26"/>
          <w:szCs w:val="26"/>
        </w:rPr>
        <w:t xml:space="preserve"> </w:t>
      </w:r>
      <w:r w:rsidRPr="00726672" w:rsidR="001E21A1">
        <w:rPr>
          <w:sz w:val="26"/>
          <w:szCs w:val="26"/>
        </w:rPr>
        <w:t>26.04</w:t>
      </w:r>
      <w:r w:rsidRPr="00726672" w:rsidR="00FC5B1E">
        <w:rPr>
          <w:sz w:val="26"/>
          <w:szCs w:val="26"/>
        </w:rPr>
        <w:t>.202</w:t>
      </w:r>
      <w:r w:rsidRPr="00726672" w:rsidR="001E21A1">
        <w:rPr>
          <w:sz w:val="26"/>
          <w:szCs w:val="26"/>
        </w:rPr>
        <w:t>4</w:t>
      </w:r>
      <w:r w:rsidRPr="00726672" w:rsidR="00FC5B1E">
        <w:rPr>
          <w:sz w:val="26"/>
          <w:szCs w:val="26"/>
        </w:rPr>
        <w:t xml:space="preserve"> года </w:t>
      </w:r>
      <w:r w:rsidRPr="00726672">
        <w:rPr>
          <w:sz w:val="26"/>
          <w:szCs w:val="26"/>
        </w:rPr>
        <w:t>было установлено, что АО «</w:t>
      </w:r>
      <w:r w:rsidRPr="00726672" w:rsidR="00285579">
        <w:rPr>
          <w:sz w:val="26"/>
          <w:szCs w:val="26"/>
        </w:rPr>
        <w:t>Самотлорнефтепромхим</w:t>
      </w:r>
      <w:r w:rsidRPr="00726672">
        <w:rPr>
          <w:sz w:val="26"/>
          <w:szCs w:val="26"/>
        </w:rPr>
        <w:t>» не выполнило</w:t>
      </w:r>
      <w:r w:rsidRPr="00726672" w:rsidR="001929C5">
        <w:rPr>
          <w:sz w:val="26"/>
          <w:szCs w:val="26"/>
        </w:rPr>
        <w:t xml:space="preserve"> в полном объеме в срок до 01.03.2024 </w:t>
      </w:r>
      <w:r w:rsidRPr="00726672">
        <w:rPr>
          <w:sz w:val="26"/>
          <w:szCs w:val="26"/>
        </w:rPr>
        <w:t xml:space="preserve"> </w:t>
      </w:r>
      <w:r w:rsidRPr="00726672" w:rsidR="001929C5">
        <w:rPr>
          <w:sz w:val="26"/>
          <w:szCs w:val="26"/>
        </w:rPr>
        <w:t>предписания №№ 1, 5, 6,7, 8, 9, 11 бланка предписания от 25.10.2023 №2310/171-86/31-В/ПВП</w:t>
      </w:r>
      <w:r w:rsidRPr="00726672">
        <w:rPr>
          <w:sz w:val="26"/>
          <w:szCs w:val="26"/>
        </w:rPr>
        <w:t>, а именно следующих пунктов:</w:t>
      </w:r>
    </w:p>
    <w:p w:rsidR="001929C5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-</w:t>
      </w:r>
      <w:r w:rsidRPr="00726672">
        <w:rPr>
          <w:sz w:val="26"/>
          <w:szCs w:val="26"/>
        </w:rPr>
        <w:tab/>
        <w:t>В</w:t>
      </w:r>
      <w:r w:rsidRPr="00726672">
        <w:rPr>
          <w:sz w:val="26"/>
          <w:szCs w:val="26"/>
        </w:rPr>
        <w:t xml:space="preserve"> нарушении части 3 статьи 4, части 1 статьи 6, пункта 1 части 2 статьи 53 №123-Ф3 «Технический регламент о требованиях пожарной безопасности» от 22.07.2008, пункта 4.4.1 (е) свода правил СП 1.13130 "Системы противопожарной защиты. Эвакуационные пути и выхо</w:t>
      </w:r>
      <w:r w:rsidRPr="00726672">
        <w:rPr>
          <w:sz w:val="26"/>
          <w:szCs w:val="26"/>
        </w:rPr>
        <w:t>ды", ширина пути эвакуации по наружной лестнице, предназначенной для эвакуации людей менее 0,9 метров (фактическая - 0,711 метров).</w:t>
      </w:r>
    </w:p>
    <w:p w:rsidR="001929C5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- В нарушении части 3 статьи 4, части 1 статьи 6, пункта 1 части 2 статьи 53 №123-Ф3 «Технический регламент о требованиях п</w:t>
      </w:r>
      <w:r w:rsidRPr="00726672">
        <w:rPr>
          <w:sz w:val="26"/>
          <w:szCs w:val="26"/>
        </w:rPr>
        <w:t>ожарной безопасности» от 22.07.2008, пункта -.3.2 свода правил СП 1.13130 "Системы противопожарной защиты. Эвакуационные пути и выходы", в коридоре второго этажа, около помещения кухни, высота горизонтального участка пути эвакуации в свету менее 2 метров (</w:t>
      </w:r>
      <w:r w:rsidRPr="00726672">
        <w:rPr>
          <w:sz w:val="26"/>
          <w:szCs w:val="26"/>
        </w:rPr>
        <w:t>фактическая - 1,85 метров).</w:t>
      </w:r>
    </w:p>
    <w:p w:rsidR="001929C5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- В нарушении части 3 статьи 4, части 1 статьи 6, пункта 1 части 2 статьи 53 №123-Ф3 Технический регламент о требованиях пожарной безопасности» от 22.07.2008, пункта -.3.3 , пункта 4.3.4 свода правил СП 1.13130 "Системы противо</w:t>
      </w:r>
      <w:r w:rsidRPr="00726672">
        <w:rPr>
          <w:sz w:val="26"/>
          <w:szCs w:val="26"/>
        </w:rPr>
        <w:t>пожарной защиты. Эвакуационные пути и выходы", на втором этаже ширина эвакуационного пути по :-;оридору, при двери, открывающейся из помещения в коридор составляет менее чем ширина пути уменьшенная на половину ширины дверного полотна (менее 1,2 м.).</w:t>
      </w:r>
    </w:p>
    <w:p w:rsidR="001929C5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- В на</w:t>
      </w:r>
      <w:r w:rsidRPr="00726672">
        <w:rPr>
          <w:sz w:val="26"/>
          <w:szCs w:val="26"/>
        </w:rPr>
        <w:t>рушении пункта 17 (б) Правил противопожарного режима в Российской Федерации, утвержденных Постановления Правительства РФ от 16.09.2020 № 1479 «Об утверждении Правил противопожарного режима в Российской Федерации», не организовано проведение эксплуатационны</w:t>
      </w:r>
      <w:r w:rsidRPr="00726672">
        <w:rPr>
          <w:sz w:val="26"/>
          <w:szCs w:val="26"/>
        </w:rPr>
        <w:t>х испытаний пожарных лестниц, металлических наружных открытых лестниц, предназначенных для эвакуации людей при пожаре не реже 1 раза в 5 лет, с составлением соответствующего протокола испытаний и внесением в журнал эксплуатации противопожарной защиты.</w:t>
      </w:r>
    </w:p>
    <w:p w:rsidR="001929C5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- В </w:t>
      </w:r>
      <w:r w:rsidRPr="00726672">
        <w:rPr>
          <w:sz w:val="26"/>
          <w:szCs w:val="26"/>
        </w:rPr>
        <w:t>нарушении части 5 статьи 6, статьи 64 №123-Ф3 «Технический регламент о требованиях пожарной безопасности» от 22.07.2008, не разработана декларация пожарной безопасности.</w:t>
      </w:r>
    </w:p>
    <w:p w:rsidR="001929C5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- В нарушении абзаца 4 пункта 2 Правил противопожарного режима в Российской Федерации,</w:t>
      </w:r>
      <w:r w:rsidRPr="00726672">
        <w:rPr>
          <w:sz w:val="26"/>
          <w:szCs w:val="26"/>
        </w:rPr>
        <w:t xml:space="preserve"> утвержденных Постановления Правительства РФ от 16.09.2020 № 1479 «Об утверждении Правил противопожарного режима в Российской Федерации» инструкция о мерах пожарной безопасности не соответствует требованиям, установленными разделом XVIII Правил противопожа</w:t>
      </w:r>
      <w:r w:rsidRPr="00726672">
        <w:rPr>
          <w:sz w:val="26"/>
          <w:szCs w:val="26"/>
        </w:rPr>
        <w:t>рного режима в Российской Федерации, утвержденных Постановления Правительства РФ от 16.09.2020 N° 1479 «Об утверждении Правил противопожарного режима в Российской Федерации».</w:t>
      </w:r>
    </w:p>
    <w:p w:rsidR="00074706" w:rsidRPr="00726672" w:rsidP="001929C5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- В нарушении части 3 статьи 4, части 1 статьи 6, пункта 1 части 2 статьи 53 №123</w:t>
      </w:r>
      <w:r w:rsidRPr="00726672">
        <w:rPr>
          <w:sz w:val="26"/>
          <w:szCs w:val="26"/>
        </w:rPr>
        <w:t>-Ф3 Технический регламент о требованиях пожарной безопасности» от 22.07.2008, пункта 6.16 СНиП 21-01-97 Пожарная безопасность зданий и сооружений, пункта 4.2.19 свода правил СП 1.13130 "Системы противопожарной защиты. Эвакуационные пути и выходы», ширина э</w:t>
      </w:r>
      <w:r w:rsidRPr="00726672">
        <w:rPr>
          <w:sz w:val="26"/>
          <w:szCs w:val="26"/>
        </w:rPr>
        <w:t>вакуационных выходов в здании мене 1,2 м.</w:t>
      </w:r>
    </w:p>
    <w:p w:rsidR="00775282" w:rsidRPr="00726672" w:rsidP="00960E19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При рассмотрении административного материала представител</w:t>
      </w:r>
      <w:r w:rsidRPr="00726672" w:rsidR="00BC5C3E">
        <w:rPr>
          <w:sz w:val="26"/>
          <w:szCs w:val="26"/>
        </w:rPr>
        <w:t>и</w:t>
      </w:r>
      <w:r w:rsidRPr="00726672">
        <w:rPr>
          <w:sz w:val="26"/>
          <w:szCs w:val="26"/>
        </w:rPr>
        <w:t xml:space="preserve"> АО «</w:t>
      </w:r>
      <w:r w:rsidRPr="00726672" w:rsidR="00041F4D">
        <w:rPr>
          <w:sz w:val="26"/>
          <w:szCs w:val="26"/>
        </w:rPr>
        <w:t>Самотлорнефтепромхим</w:t>
      </w:r>
      <w:r w:rsidRPr="00726672">
        <w:rPr>
          <w:sz w:val="26"/>
          <w:szCs w:val="26"/>
        </w:rPr>
        <w:t>»</w:t>
      </w:r>
      <w:r w:rsidRPr="00726672" w:rsidR="00041F4D">
        <w:rPr>
          <w:sz w:val="26"/>
          <w:szCs w:val="26"/>
        </w:rPr>
        <w:t xml:space="preserve">, </w:t>
      </w:r>
      <w:r w:rsidRPr="00726672">
        <w:rPr>
          <w:sz w:val="26"/>
          <w:szCs w:val="26"/>
        </w:rPr>
        <w:t>действующ</w:t>
      </w:r>
      <w:r w:rsidRPr="00726672" w:rsidR="00BC5C3E">
        <w:rPr>
          <w:sz w:val="26"/>
          <w:szCs w:val="26"/>
        </w:rPr>
        <w:t>ие</w:t>
      </w:r>
      <w:r w:rsidRPr="00726672">
        <w:rPr>
          <w:sz w:val="26"/>
          <w:szCs w:val="26"/>
        </w:rPr>
        <w:t xml:space="preserve"> по доверенности</w:t>
      </w:r>
      <w:r w:rsidRPr="00726672" w:rsidR="00BC5C3E">
        <w:rPr>
          <w:sz w:val="26"/>
          <w:szCs w:val="26"/>
        </w:rPr>
        <w:t>:</w:t>
      </w:r>
      <w:r w:rsidRPr="00726672">
        <w:rPr>
          <w:sz w:val="26"/>
          <w:szCs w:val="26"/>
        </w:rPr>
        <w:t xml:space="preserve"> </w:t>
      </w:r>
      <w:r w:rsidR="00772C9F">
        <w:rPr>
          <w:sz w:val="26"/>
          <w:szCs w:val="26"/>
        </w:rPr>
        <w:t>фио</w:t>
      </w:r>
      <w:r w:rsidRPr="00726672">
        <w:rPr>
          <w:sz w:val="26"/>
          <w:szCs w:val="26"/>
        </w:rPr>
        <w:t xml:space="preserve">. </w:t>
      </w:r>
      <w:r w:rsidRPr="00726672" w:rsidR="00BC5C3E">
        <w:rPr>
          <w:sz w:val="26"/>
          <w:szCs w:val="26"/>
        </w:rPr>
        <w:t xml:space="preserve"> и представитель </w:t>
      </w:r>
      <w:r w:rsidR="00772C9F">
        <w:rPr>
          <w:sz w:val="26"/>
          <w:szCs w:val="26"/>
        </w:rPr>
        <w:t>фио2</w:t>
      </w:r>
      <w:r w:rsidRPr="00726672" w:rsidR="00BC5C3E">
        <w:rPr>
          <w:sz w:val="26"/>
          <w:szCs w:val="26"/>
        </w:rPr>
        <w:t xml:space="preserve"> </w:t>
      </w:r>
      <w:r w:rsidRPr="00726672">
        <w:rPr>
          <w:sz w:val="26"/>
          <w:szCs w:val="26"/>
        </w:rPr>
        <w:t>в судебном заседании не отрицал</w:t>
      </w:r>
      <w:r w:rsidRPr="00726672" w:rsidR="00BC5C3E">
        <w:rPr>
          <w:sz w:val="26"/>
          <w:szCs w:val="26"/>
        </w:rPr>
        <w:t>и</w:t>
      </w:r>
      <w:r w:rsidRPr="00726672">
        <w:rPr>
          <w:sz w:val="26"/>
          <w:szCs w:val="26"/>
        </w:rPr>
        <w:t xml:space="preserve"> факт невыполнения ряда </w:t>
      </w:r>
      <w:r w:rsidRPr="00726672">
        <w:rPr>
          <w:sz w:val="26"/>
          <w:szCs w:val="26"/>
        </w:rPr>
        <w:t>пунктов предписания и поясни</w:t>
      </w:r>
      <w:r w:rsidRPr="00726672" w:rsidR="00BC5C3E">
        <w:rPr>
          <w:sz w:val="26"/>
          <w:szCs w:val="26"/>
        </w:rPr>
        <w:t>в</w:t>
      </w:r>
      <w:r w:rsidRPr="00726672">
        <w:rPr>
          <w:sz w:val="26"/>
          <w:szCs w:val="26"/>
        </w:rPr>
        <w:t xml:space="preserve">, что для этого нужны большие финансовые затраты, поскольку здание очень устарело. Обязуются </w:t>
      </w:r>
      <w:r w:rsidRPr="00726672" w:rsidR="00BC5C3E">
        <w:rPr>
          <w:sz w:val="26"/>
          <w:szCs w:val="26"/>
        </w:rPr>
        <w:t>предпринять все необходимые меры, направленные на устранение</w:t>
      </w:r>
      <w:r w:rsidRPr="00726672">
        <w:rPr>
          <w:sz w:val="26"/>
          <w:szCs w:val="26"/>
        </w:rPr>
        <w:t xml:space="preserve"> нарушени</w:t>
      </w:r>
      <w:r w:rsidRPr="00726672" w:rsidR="00BC5C3E">
        <w:rPr>
          <w:sz w:val="26"/>
          <w:szCs w:val="26"/>
        </w:rPr>
        <w:t>й</w:t>
      </w:r>
      <w:r w:rsidRPr="00726672">
        <w:rPr>
          <w:sz w:val="26"/>
          <w:szCs w:val="26"/>
        </w:rPr>
        <w:t xml:space="preserve">. </w:t>
      </w:r>
    </w:p>
    <w:p w:rsidR="00960E19" w:rsidRPr="00726672" w:rsidP="005E042E">
      <w:pPr>
        <w:ind w:right="140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         Мировой судья, выслушав </w:t>
      </w:r>
      <w:r w:rsidRPr="00726672" w:rsidR="00775282">
        <w:rPr>
          <w:sz w:val="26"/>
          <w:szCs w:val="26"/>
        </w:rPr>
        <w:t xml:space="preserve">вышеуказанных лиц, </w:t>
      </w:r>
      <w:r w:rsidRPr="00726672">
        <w:rPr>
          <w:sz w:val="26"/>
          <w:szCs w:val="26"/>
        </w:rPr>
        <w:t>исследов</w:t>
      </w:r>
      <w:r w:rsidRPr="00726672">
        <w:rPr>
          <w:sz w:val="26"/>
          <w:szCs w:val="26"/>
        </w:rPr>
        <w:t xml:space="preserve">ал следующие доказательства по делу: протокол об административном правонарушении от </w:t>
      </w:r>
      <w:r w:rsidRPr="00726672" w:rsidR="001929C5">
        <w:rPr>
          <w:sz w:val="26"/>
          <w:szCs w:val="26"/>
        </w:rPr>
        <w:t>07.05.2024</w:t>
      </w:r>
      <w:r w:rsidRPr="00726672">
        <w:rPr>
          <w:sz w:val="26"/>
          <w:szCs w:val="26"/>
        </w:rPr>
        <w:t xml:space="preserve"> года,</w:t>
      </w:r>
      <w:r w:rsidRPr="00726672" w:rsidR="001929C5">
        <w:rPr>
          <w:sz w:val="26"/>
          <w:szCs w:val="26"/>
        </w:rPr>
        <w:t xml:space="preserve"> </w:t>
      </w:r>
      <w:r w:rsidRPr="00726672" w:rsidR="00775282">
        <w:rPr>
          <w:sz w:val="26"/>
          <w:szCs w:val="26"/>
        </w:rPr>
        <w:t xml:space="preserve">копию решения о проведении внеплановой проверки от </w:t>
      </w:r>
      <w:r w:rsidRPr="00726672" w:rsidR="001929C5">
        <w:rPr>
          <w:sz w:val="26"/>
          <w:szCs w:val="26"/>
        </w:rPr>
        <w:t>05.04.2024</w:t>
      </w:r>
      <w:r w:rsidRPr="00726672" w:rsidR="00775282">
        <w:rPr>
          <w:sz w:val="26"/>
          <w:szCs w:val="26"/>
        </w:rPr>
        <w:t xml:space="preserve"> года </w:t>
      </w:r>
      <w:r w:rsidRPr="00726672" w:rsidR="001929C5">
        <w:rPr>
          <w:sz w:val="26"/>
          <w:szCs w:val="26"/>
        </w:rPr>
        <w:t>№ 2404/006-86/39-В/РВП</w:t>
      </w:r>
      <w:r w:rsidRPr="00726672" w:rsidR="00775282">
        <w:rPr>
          <w:sz w:val="26"/>
          <w:szCs w:val="26"/>
        </w:rPr>
        <w:t>;</w:t>
      </w:r>
      <w:r w:rsidRPr="00726672" w:rsidR="005E042E">
        <w:rPr>
          <w:sz w:val="26"/>
          <w:szCs w:val="26"/>
        </w:rPr>
        <w:t xml:space="preserve"> копию акта выездной внеплановой проверки от 26.04.2024 № 2404/006-86/39-В/АВП; копию протокола инструментального обследования № 2404/006-86/39-В от 24.04.2024; копию протокола осмотра № 2404/006-86/39-В от 24.04.2024; </w:t>
      </w:r>
      <w:r w:rsidRPr="00726672">
        <w:rPr>
          <w:sz w:val="26"/>
          <w:szCs w:val="26"/>
        </w:rPr>
        <w:t xml:space="preserve">копию предписания </w:t>
      </w:r>
      <w:r w:rsidRPr="00726672" w:rsidR="005E042E">
        <w:rPr>
          <w:sz w:val="26"/>
          <w:szCs w:val="26"/>
        </w:rPr>
        <w:t>№ 2310/171-86/31-В/ПВП от 25.10.2023</w:t>
      </w:r>
      <w:r w:rsidRPr="00726672">
        <w:rPr>
          <w:sz w:val="26"/>
          <w:szCs w:val="26"/>
        </w:rPr>
        <w:t xml:space="preserve"> </w:t>
      </w:r>
      <w:r w:rsidRPr="00726672" w:rsidR="005C703D">
        <w:rPr>
          <w:sz w:val="26"/>
          <w:szCs w:val="26"/>
        </w:rPr>
        <w:t>об</w:t>
      </w:r>
      <w:r w:rsidRPr="00726672">
        <w:rPr>
          <w:sz w:val="26"/>
          <w:szCs w:val="26"/>
        </w:rPr>
        <w:t xml:space="preserve"> устранени</w:t>
      </w:r>
      <w:r w:rsidRPr="00726672" w:rsidR="005C703D">
        <w:rPr>
          <w:sz w:val="26"/>
          <w:szCs w:val="26"/>
        </w:rPr>
        <w:t>и</w:t>
      </w:r>
      <w:r w:rsidRPr="00726672">
        <w:rPr>
          <w:sz w:val="26"/>
          <w:szCs w:val="26"/>
        </w:rPr>
        <w:t xml:space="preserve"> </w:t>
      </w:r>
      <w:r w:rsidRPr="00726672" w:rsidR="005C703D">
        <w:rPr>
          <w:sz w:val="26"/>
          <w:szCs w:val="26"/>
        </w:rPr>
        <w:t xml:space="preserve">выявленных </w:t>
      </w:r>
      <w:r w:rsidRPr="00726672">
        <w:rPr>
          <w:sz w:val="26"/>
          <w:szCs w:val="26"/>
        </w:rPr>
        <w:t xml:space="preserve">нарушений </w:t>
      </w:r>
      <w:r w:rsidRPr="00726672" w:rsidR="005C703D">
        <w:rPr>
          <w:sz w:val="26"/>
          <w:szCs w:val="26"/>
        </w:rPr>
        <w:t>обязательных требований</w:t>
      </w:r>
      <w:r w:rsidRPr="00726672">
        <w:rPr>
          <w:sz w:val="26"/>
          <w:szCs w:val="26"/>
        </w:rPr>
        <w:t xml:space="preserve">, согласно которого срок устранения нарушений установлен до </w:t>
      </w:r>
      <w:r w:rsidRPr="00726672" w:rsidR="005C703D">
        <w:rPr>
          <w:sz w:val="26"/>
          <w:szCs w:val="26"/>
        </w:rPr>
        <w:t>01.0</w:t>
      </w:r>
      <w:r w:rsidRPr="00726672" w:rsidR="005E042E">
        <w:rPr>
          <w:sz w:val="26"/>
          <w:szCs w:val="26"/>
        </w:rPr>
        <w:t>3</w:t>
      </w:r>
      <w:r w:rsidRPr="00726672" w:rsidR="005C703D">
        <w:rPr>
          <w:sz w:val="26"/>
          <w:szCs w:val="26"/>
        </w:rPr>
        <w:t>.202</w:t>
      </w:r>
      <w:r w:rsidRPr="00726672" w:rsidR="005E042E">
        <w:rPr>
          <w:sz w:val="26"/>
          <w:szCs w:val="26"/>
        </w:rPr>
        <w:t>4 года.</w:t>
      </w:r>
    </w:p>
    <w:p w:rsidR="00960E19" w:rsidRPr="00726672" w:rsidP="00960E19">
      <w:pPr>
        <w:ind w:right="140" w:firstLine="708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В соответствии с законами и иными нормативными правовыми актами РФ,  уполномоченные государственные органы (должностные лица) вправе осуществлять надзорные (контрольные</w:t>
      </w:r>
      <w:r w:rsidRPr="00726672">
        <w:rPr>
          <w:sz w:val="26"/>
          <w:szCs w:val="26"/>
        </w:rPr>
        <w:t>) функции в отношении граждан, должностных лиц (в том числе органов исполнительной власти и органов местного самоуправления) и организаций, осуществляющих коммерческую и некоммерческую деятельность. При этом могут выноситься обязательные для исполнения пре</w:t>
      </w:r>
      <w:r w:rsidRPr="00726672">
        <w:rPr>
          <w:sz w:val="26"/>
          <w:szCs w:val="26"/>
        </w:rPr>
        <w:t>дписания (постановления, представления, решения) о прекращении нарушений тех или иных норм закона, устранении негативных последствий, восстановлении первоначального положения, заключении договоров с конкретными условиями и субъектами, о расторжении или изм</w:t>
      </w:r>
      <w:r w:rsidRPr="00726672">
        <w:rPr>
          <w:sz w:val="26"/>
          <w:szCs w:val="26"/>
        </w:rPr>
        <w:t>енении договоров и т.д.</w:t>
      </w:r>
    </w:p>
    <w:p w:rsidR="00960E19" w:rsidRPr="00726672" w:rsidP="00960E19">
      <w:pPr>
        <w:ind w:right="140" w:firstLine="708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Граждане, должностные лица, юридические лица обязаны неукоснительно исполнять возложенные на них законом обязанности, связанные со сферой их деятельности, выполнять адресованные им предписания органов государственного надзора и конт</w:t>
      </w:r>
      <w:r w:rsidRPr="00726672">
        <w:rPr>
          <w:sz w:val="26"/>
          <w:szCs w:val="26"/>
        </w:rPr>
        <w:t>роля.</w:t>
      </w: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Диспозицией ч. 12 ст. 19.5 Кодекса РФ об АП предусматривает административную ответственность за невыполнение в установленный срок законного предписания органа, осуществляющего государственный пожарный надзор. </w:t>
      </w:r>
    </w:p>
    <w:p w:rsidR="00960E19" w:rsidRPr="00726672" w:rsidP="00960E19">
      <w:pPr>
        <w:pStyle w:val="a2"/>
        <w:ind w:left="0" w:right="140" w:firstLine="567"/>
        <w:rPr>
          <w:rFonts w:ascii="Times New Roman" w:hAnsi="Times New Roman"/>
          <w:sz w:val="26"/>
          <w:szCs w:val="26"/>
        </w:rPr>
      </w:pPr>
      <w:r w:rsidRPr="00726672">
        <w:rPr>
          <w:rFonts w:ascii="Times New Roman" w:hAnsi="Times New Roman"/>
          <w:sz w:val="26"/>
          <w:szCs w:val="26"/>
        </w:rPr>
        <w:t>Законодательство об административных пр</w:t>
      </w:r>
      <w:r w:rsidRPr="00726672">
        <w:rPr>
          <w:rFonts w:ascii="Times New Roman" w:hAnsi="Times New Roman"/>
          <w:sz w:val="26"/>
          <w:szCs w:val="26"/>
        </w:rPr>
        <w:t>авонарушениях вместе с другими нормами административного права призвано обеспечить реализацию и защиту положений Конституции РФ.</w:t>
      </w:r>
    </w:p>
    <w:p w:rsidR="00960E19" w:rsidRPr="00726672" w:rsidP="00960E19">
      <w:pPr>
        <w:ind w:right="140" w:firstLine="540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Объектом данного правонарушения выступают общественные отношения, складывающиеся в процессе осуществления государственного </w:t>
      </w:r>
      <w:r w:rsidRPr="00726672">
        <w:rPr>
          <w:sz w:val="26"/>
          <w:szCs w:val="26"/>
        </w:rPr>
        <w:t>пожарного контроля (надзора). То есть управленческие решения, деятельность соответствующих должностных лиц по реализации своих полномочий.</w:t>
      </w:r>
    </w:p>
    <w:p w:rsidR="00960E19" w:rsidRPr="00726672" w:rsidP="00960E19">
      <w:pPr>
        <w:autoSpaceDE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Объективная сторона административного правонарушения, предусмотренного </w:t>
      </w:r>
      <w:hyperlink r:id="rId5" w:history="1">
        <w:r w:rsidRPr="00726672">
          <w:rPr>
            <w:rStyle w:val="Hyperlink"/>
            <w:color w:val="auto"/>
            <w:sz w:val="26"/>
            <w:szCs w:val="26"/>
          </w:rPr>
          <w:t>ч. 1</w:t>
        </w:r>
        <w:r w:rsidRPr="00726672">
          <w:rPr>
            <w:rStyle w:val="Hyperlink"/>
            <w:color w:val="auto"/>
            <w:sz w:val="26"/>
            <w:szCs w:val="26"/>
          </w:rPr>
          <w:t>2 ст. 19.5</w:t>
        </w:r>
      </w:hyperlink>
      <w:r w:rsidRPr="00726672">
        <w:rPr>
          <w:sz w:val="26"/>
          <w:szCs w:val="26"/>
        </w:rPr>
        <w:t xml:space="preserve"> состоит в том, что виновный не выполняет в установленный законом срок законные предписания (постановления, решения, представления) органа или должностного лица, осуществляющего государственный пожарный контроль или надзор, об устранении нарушений законода</w:t>
      </w:r>
      <w:r w:rsidRPr="00726672">
        <w:rPr>
          <w:sz w:val="26"/>
          <w:szCs w:val="26"/>
        </w:rPr>
        <w:t>тельства, выявленных упомянутым органом (должностным лицом) самостоятельно либо ставших ему известными. Законность предписания предполагает, что предписание выдано в установленном законом порядке, не ущемляющем права поднадзорных субъектов.</w:t>
      </w:r>
    </w:p>
    <w:p w:rsidR="00960E19" w:rsidRPr="00726672" w:rsidP="00960E19">
      <w:pPr>
        <w:autoSpaceDE w:val="0"/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Состав указанны</w:t>
      </w:r>
      <w:r w:rsidRPr="00726672">
        <w:rPr>
          <w:sz w:val="26"/>
          <w:szCs w:val="26"/>
        </w:rPr>
        <w:t>х правонарушений - формальный, наступления вредных последствий не требуется.</w:t>
      </w:r>
    </w:p>
    <w:p w:rsidR="00960E19" w:rsidRPr="00726672" w:rsidP="00960E19">
      <w:pPr>
        <w:ind w:right="140" w:firstLine="540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Субъектами правонарушений, предусмотренных ч. 12 ст. 19.5 Кодекса Российской Федерации об административных правонарушениях могут быть граждане, индивидуальные предприниматели, кот</w:t>
      </w:r>
      <w:r w:rsidRPr="00726672">
        <w:rPr>
          <w:sz w:val="26"/>
          <w:szCs w:val="26"/>
        </w:rPr>
        <w:t xml:space="preserve">орые несут административную ответственность как должностные лица, должностные лица коммерческих и некоммерческих организаций и юридические лица независимо от их организационно-правовых форм. </w:t>
      </w:r>
    </w:p>
    <w:p w:rsidR="00960E19" w:rsidRPr="00726672" w:rsidP="00960E19">
      <w:pPr>
        <w:ind w:right="140" w:firstLine="540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Согласно ч. 1 ст. 2.2. Кодекса РФ об административных правонаруш</w:t>
      </w:r>
      <w:r w:rsidRPr="00726672">
        <w:rPr>
          <w:sz w:val="26"/>
          <w:szCs w:val="26"/>
        </w:rPr>
        <w:t>ениях (об умышленной форме вины) применяются с учетом правил ст. 2.1 Кодекса РФ об административных правонарушениях РФ о том, что юридическое лицо признается виновным, если будет установлено, что оно не приняло все меры для соблюдения  норм Кодекса РФ об а</w:t>
      </w:r>
      <w:r w:rsidRPr="00726672">
        <w:rPr>
          <w:sz w:val="26"/>
          <w:szCs w:val="26"/>
        </w:rPr>
        <w:t>дминистративных правонарушениях, хотя имело такую возможность.</w:t>
      </w:r>
    </w:p>
    <w:p w:rsidR="00960E19" w:rsidRPr="00726672" w:rsidP="00960E19">
      <w:pPr>
        <w:suppressAutoHyphens w:val="0"/>
        <w:autoSpaceDE w:val="0"/>
        <w:autoSpaceDN w:val="0"/>
        <w:adjustRightInd w:val="0"/>
        <w:ind w:right="140" w:firstLine="567"/>
        <w:jc w:val="both"/>
        <w:rPr>
          <w:sz w:val="26"/>
          <w:szCs w:val="26"/>
          <w:lang w:eastAsia="ru-RU"/>
        </w:rPr>
      </w:pPr>
      <w:r w:rsidRPr="00726672">
        <w:rPr>
          <w:sz w:val="26"/>
          <w:szCs w:val="26"/>
          <w:lang w:eastAsia="ru-RU"/>
        </w:rPr>
        <w:t>В соответствии с ч.2 ст.2.1 Кодекса РФ ОБ АП юридическое лицо признается виновным в совершении административного правонарушения, если будет установлено, что у него имелась возможность для соблю</w:t>
      </w:r>
      <w:r w:rsidRPr="00726672">
        <w:rPr>
          <w:sz w:val="26"/>
          <w:szCs w:val="26"/>
          <w:lang w:eastAsia="ru-RU"/>
        </w:rPr>
        <w:t>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404158" w:rsidRPr="00726672" w:rsidP="00404158">
      <w:pPr>
        <w:ind w:right="140" w:firstLine="708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Материалами дела, а именно </w:t>
      </w:r>
      <w:r w:rsidRPr="00726672">
        <w:rPr>
          <w:sz w:val="26"/>
          <w:szCs w:val="26"/>
        </w:rPr>
        <w:t xml:space="preserve">актом проверки государственного пожарного надзора юридического лица от </w:t>
      </w:r>
      <w:r w:rsidRPr="00726672" w:rsidR="005E042E">
        <w:rPr>
          <w:sz w:val="26"/>
          <w:szCs w:val="26"/>
        </w:rPr>
        <w:t xml:space="preserve">26.04.2024 № 2404/006-86/39-В/АВП </w:t>
      </w:r>
      <w:r w:rsidRPr="00726672">
        <w:rPr>
          <w:sz w:val="26"/>
          <w:szCs w:val="26"/>
        </w:rPr>
        <w:t>подтверждено, что в установленный предписани</w:t>
      </w:r>
      <w:r w:rsidRPr="00726672" w:rsidR="005E042E">
        <w:rPr>
          <w:sz w:val="26"/>
          <w:szCs w:val="26"/>
        </w:rPr>
        <w:t>ем</w:t>
      </w:r>
      <w:r w:rsidRPr="00726672">
        <w:rPr>
          <w:sz w:val="26"/>
          <w:szCs w:val="26"/>
        </w:rPr>
        <w:t xml:space="preserve"> </w:t>
      </w:r>
      <w:r w:rsidRPr="00726672" w:rsidR="005E042E">
        <w:rPr>
          <w:sz w:val="26"/>
          <w:szCs w:val="26"/>
        </w:rPr>
        <w:t xml:space="preserve">от 25.10.2023 №2310/171-86/31-В/ПВП, в </w:t>
      </w:r>
      <w:r w:rsidRPr="00726672">
        <w:rPr>
          <w:sz w:val="26"/>
          <w:szCs w:val="26"/>
        </w:rPr>
        <w:t xml:space="preserve">срок до </w:t>
      </w:r>
      <w:r w:rsidRPr="00726672" w:rsidR="005E042E">
        <w:rPr>
          <w:sz w:val="26"/>
          <w:szCs w:val="26"/>
        </w:rPr>
        <w:t>01.03.2024</w:t>
      </w:r>
      <w:r w:rsidRPr="00726672">
        <w:rPr>
          <w:sz w:val="26"/>
          <w:szCs w:val="26"/>
        </w:rPr>
        <w:t xml:space="preserve">, АО «Самотлорнефтепромхим»  не были устранены </w:t>
      </w:r>
      <w:r w:rsidRPr="00726672">
        <w:rPr>
          <w:sz w:val="26"/>
          <w:szCs w:val="26"/>
        </w:rPr>
        <w:t xml:space="preserve"> </w:t>
      </w:r>
      <w:r w:rsidRPr="00726672" w:rsidR="00D24A67">
        <w:rPr>
          <w:sz w:val="26"/>
          <w:szCs w:val="26"/>
        </w:rPr>
        <w:t xml:space="preserve">все </w:t>
      </w:r>
      <w:r w:rsidRPr="00726672">
        <w:rPr>
          <w:sz w:val="26"/>
          <w:szCs w:val="26"/>
        </w:rPr>
        <w:t>нарушения.</w:t>
      </w: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Следовательно, в бездействии </w:t>
      </w:r>
      <w:r w:rsidRPr="00726672" w:rsidR="00404158">
        <w:rPr>
          <w:sz w:val="26"/>
          <w:szCs w:val="26"/>
        </w:rPr>
        <w:t xml:space="preserve">АО «Самотлорнефтепромхим»  </w:t>
      </w:r>
      <w:r w:rsidRPr="00726672">
        <w:rPr>
          <w:sz w:val="26"/>
          <w:szCs w:val="26"/>
        </w:rPr>
        <w:t xml:space="preserve">усматривается состав административного правонарушения, предусмотренного ч.12 ст. 19.5 Кодекса РФ об </w:t>
      </w:r>
      <w:r w:rsidRPr="00726672" w:rsidR="00D24A67">
        <w:rPr>
          <w:sz w:val="26"/>
          <w:szCs w:val="26"/>
        </w:rPr>
        <w:t>административных правонарушениях.</w:t>
      </w:r>
    </w:p>
    <w:p w:rsidR="00960E19" w:rsidRPr="00726672" w:rsidP="00960E19">
      <w:pPr>
        <w:ind w:right="140" w:firstLine="567"/>
        <w:jc w:val="both"/>
        <w:rPr>
          <w:sz w:val="26"/>
          <w:szCs w:val="26"/>
          <w:lang w:eastAsia="ru-RU"/>
        </w:rPr>
      </w:pPr>
      <w:r w:rsidRPr="00726672">
        <w:rPr>
          <w:sz w:val="26"/>
          <w:szCs w:val="26"/>
        </w:rPr>
        <w:t>Таким образом, мировой судья приходит к выводу, чт</w:t>
      </w:r>
      <w:r w:rsidRPr="00726672">
        <w:rPr>
          <w:sz w:val="26"/>
          <w:szCs w:val="26"/>
        </w:rPr>
        <w:t xml:space="preserve">о </w:t>
      </w:r>
      <w:r w:rsidRPr="00726672" w:rsidR="00404158">
        <w:rPr>
          <w:sz w:val="26"/>
          <w:szCs w:val="26"/>
        </w:rPr>
        <w:t xml:space="preserve">АО «Самотлорнефтепромхим» </w:t>
      </w:r>
      <w:r w:rsidRPr="00726672">
        <w:rPr>
          <w:sz w:val="26"/>
          <w:szCs w:val="26"/>
        </w:rPr>
        <w:t>совершило административное правонарушение, предусмотренное ч.12 ст.19.5 Кодекса РФ об административных правонарушениях, то есть н</w:t>
      </w:r>
      <w:r w:rsidRPr="00726672">
        <w:rPr>
          <w:sz w:val="26"/>
          <w:szCs w:val="26"/>
          <w:shd w:val="clear" w:color="auto" w:fill="FFFFFF"/>
        </w:rPr>
        <w:t>евыполнение в установленный срок законного </w:t>
      </w:r>
      <w:hyperlink r:id="rId6" w:anchor="dst100130" w:history="1">
        <w:r w:rsidRPr="00726672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предписания</w:t>
        </w:r>
      </w:hyperlink>
      <w:r w:rsidRPr="00726672">
        <w:rPr>
          <w:sz w:val="26"/>
          <w:szCs w:val="26"/>
          <w:shd w:val="clear" w:color="auto" w:fill="FFFFFF"/>
        </w:rPr>
        <w:t> органа, осуществляющего федеральный государственный пожарный надзор</w:t>
      </w:r>
      <w:r w:rsidRPr="00726672">
        <w:rPr>
          <w:sz w:val="26"/>
          <w:szCs w:val="26"/>
          <w:lang w:eastAsia="ru-RU"/>
        </w:rPr>
        <w:t>.</w:t>
      </w:r>
    </w:p>
    <w:p w:rsidR="00404158" w:rsidRPr="00726672" w:rsidP="00960E19">
      <w:pPr>
        <w:ind w:right="140" w:firstLine="567"/>
        <w:jc w:val="both"/>
        <w:rPr>
          <w:sz w:val="26"/>
          <w:szCs w:val="26"/>
          <w:lang w:eastAsia="ru-RU"/>
        </w:rPr>
      </w:pPr>
      <w:r w:rsidRPr="00726672">
        <w:rPr>
          <w:sz w:val="26"/>
          <w:szCs w:val="26"/>
          <w:lang w:eastAsia="ru-RU"/>
        </w:rPr>
        <w:t>К обстоятельству, смягчающему административную ответственность, предусмотренному ст. 4.2 Кодекса РФ об административных правонарушениях</w:t>
      </w:r>
      <w:r w:rsidRPr="00726672" w:rsidR="00D24A67">
        <w:rPr>
          <w:sz w:val="26"/>
          <w:szCs w:val="26"/>
          <w:lang w:eastAsia="ru-RU"/>
        </w:rPr>
        <w:t xml:space="preserve"> мировой судья относит: признание вины.</w:t>
      </w:r>
    </w:p>
    <w:p w:rsidR="00404158" w:rsidRPr="00726672" w:rsidP="00960E19">
      <w:pPr>
        <w:ind w:right="140" w:firstLine="567"/>
        <w:jc w:val="both"/>
        <w:rPr>
          <w:sz w:val="26"/>
          <w:szCs w:val="26"/>
          <w:lang w:eastAsia="ru-RU"/>
        </w:rPr>
      </w:pPr>
      <w:r w:rsidRPr="00726672">
        <w:rPr>
          <w:sz w:val="26"/>
          <w:szCs w:val="26"/>
          <w:lang w:eastAsia="ru-RU"/>
        </w:rPr>
        <w:t xml:space="preserve">Обстоятельств, </w:t>
      </w:r>
      <w:r w:rsidRPr="00726672" w:rsidR="00D24A67">
        <w:rPr>
          <w:sz w:val="26"/>
          <w:szCs w:val="26"/>
          <w:lang w:eastAsia="ru-RU"/>
        </w:rPr>
        <w:t>отягчающих</w:t>
      </w:r>
      <w:r w:rsidRPr="00726672">
        <w:rPr>
          <w:sz w:val="26"/>
          <w:szCs w:val="26"/>
          <w:lang w:eastAsia="ru-RU"/>
        </w:rPr>
        <w:t xml:space="preserve"> административную ответственность, предусмотренн</w:t>
      </w:r>
      <w:r w:rsidRPr="00726672" w:rsidR="00D24A67">
        <w:rPr>
          <w:sz w:val="26"/>
          <w:szCs w:val="26"/>
          <w:lang w:eastAsia="ru-RU"/>
        </w:rPr>
        <w:t>ых</w:t>
      </w:r>
      <w:r w:rsidRPr="00726672">
        <w:rPr>
          <w:sz w:val="26"/>
          <w:szCs w:val="26"/>
          <w:lang w:eastAsia="ru-RU"/>
        </w:rPr>
        <w:t xml:space="preserve"> ст. 4.3 Кодекса РФ об административных правонарушениях, мировой судья не усматривает.</w:t>
      </w:r>
    </w:p>
    <w:p w:rsidR="00960E19" w:rsidRPr="00726672" w:rsidP="00404158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 При назначении наказания мировой судья учитывает характер совершенного административного правонарушения, </w:t>
      </w:r>
      <w:r w:rsidRPr="00726672" w:rsidR="00404158">
        <w:rPr>
          <w:sz w:val="26"/>
          <w:szCs w:val="26"/>
        </w:rPr>
        <w:t>наличие</w:t>
      </w:r>
      <w:r w:rsidRPr="00726672">
        <w:rPr>
          <w:sz w:val="26"/>
          <w:szCs w:val="26"/>
        </w:rPr>
        <w:t xml:space="preserve"> смягчающих и </w:t>
      </w:r>
      <w:r w:rsidRPr="00726672" w:rsidR="00404158">
        <w:rPr>
          <w:sz w:val="26"/>
          <w:szCs w:val="26"/>
        </w:rPr>
        <w:t xml:space="preserve">отсутствие обстоятельств, </w:t>
      </w:r>
      <w:r w:rsidRPr="00726672">
        <w:rPr>
          <w:sz w:val="26"/>
          <w:szCs w:val="26"/>
        </w:rPr>
        <w:t>отягчающих административную ответственность, и считает возможным назначить наказание в виде администра</w:t>
      </w:r>
      <w:r w:rsidRPr="00726672">
        <w:rPr>
          <w:sz w:val="26"/>
          <w:szCs w:val="26"/>
        </w:rPr>
        <w:t>тивного штрафа в минимальном размере.</w:t>
      </w:r>
    </w:p>
    <w:p w:rsidR="00960E19" w:rsidRPr="00726672" w:rsidP="00960E19">
      <w:pPr>
        <w:pStyle w:val="BodyTextIndent"/>
        <w:tabs>
          <w:tab w:val="left" w:pos="4820"/>
        </w:tabs>
        <w:ind w:left="0"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Руководствуясь ст.  ст. 29.9, 29.10, 32.2 Кодекса РФ об административных правонарушениях, мировой судья, </w:t>
      </w:r>
    </w:p>
    <w:p w:rsidR="00960E19" w:rsidRPr="00726672" w:rsidP="00960E19">
      <w:pPr>
        <w:pStyle w:val="BodyTextIndent"/>
        <w:tabs>
          <w:tab w:val="left" w:pos="4820"/>
        </w:tabs>
        <w:ind w:left="0" w:right="140" w:firstLine="567"/>
        <w:jc w:val="center"/>
        <w:rPr>
          <w:sz w:val="26"/>
          <w:szCs w:val="26"/>
        </w:rPr>
      </w:pPr>
      <w:r w:rsidRPr="00726672">
        <w:rPr>
          <w:sz w:val="26"/>
          <w:szCs w:val="26"/>
        </w:rPr>
        <w:t>ПОСТАНОВИЛ:</w:t>
      </w: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АО «Самотлорнефтепромхим» </w:t>
      </w:r>
      <w:r w:rsidRPr="00726672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ч.12 ст.19.5 Кодекса РФ об административных правонарушениях и назначить наказание в виде </w:t>
      </w:r>
      <w:r w:rsidRPr="00726672" w:rsidR="00D24A67">
        <w:rPr>
          <w:sz w:val="26"/>
          <w:szCs w:val="26"/>
        </w:rPr>
        <w:t xml:space="preserve">административного </w:t>
      </w:r>
      <w:r w:rsidRPr="00726672">
        <w:rPr>
          <w:sz w:val="26"/>
          <w:szCs w:val="26"/>
        </w:rPr>
        <w:t xml:space="preserve">штрафа в размере 70 000 </w:t>
      </w:r>
      <w:r w:rsidRPr="00726672" w:rsidR="005E042E">
        <w:rPr>
          <w:sz w:val="26"/>
          <w:szCs w:val="26"/>
        </w:rPr>
        <w:t xml:space="preserve">(семьдесят тысяч) </w:t>
      </w:r>
      <w:r w:rsidRPr="00726672">
        <w:rPr>
          <w:sz w:val="26"/>
          <w:szCs w:val="26"/>
        </w:rPr>
        <w:t>рублей.</w:t>
      </w:r>
    </w:p>
    <w:p w:rsidR="00BC5C3E" w:rsidRPr="00BC5C3E" w:rsidP="00BC5C3E">
      <w:pPr>
        <w:suppressAutoHyphens w:val="0"/>
        <w:ind w:firstLine="567"/>
        <w:jc w:val="both"/>
        <w:rPr>
          <w:sz w:val="26"/>
          <w:szCs w:val="26"/>
          <w:lang w:val="x-none" w:eastAsia="ru-RU"/>
        </w:rPr>
      </w:pPr>
      <w:r w:rsidRPr="00BC5C3E">
        <w:rPr>
          <w:sz w:val="26"/>
          <w:szCs w:val="26"/>
          <w:lang w:eastAsia="ru-RU"/>
        </w:rPr>
        <w:t xml:space="preserve">Административный </w:t>
      </w:r>
      <w:r w:rsidRPr="00BC5C3E">
        <w:rPr>
          <w:sz w:val="26"/>
          <w:szCs w:val="26"/>
          <w:lang w:eastAsia="ru-RU"/>
        </w:rPr>
        <w:t>штраф должен быть уплачен 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04872D08080, ИНН 8601073664, КПП 860101001,</w:t>
      </w:r>
      <w:r w:rsidRPr="00BC5C3E">
        <w:rPr>
          <w:sz w:val="26"/>
          <w:szCs w:val="26"/>
          <w:lang w:eastAsia="ru-RU"/>
        </w:rPr>
        <w:t xml:space="preserve"> номер счета получателя 03100643000000018700, наименование банка получателя платежа: РКЦ Ханты-Мансийск//УФК по Ханты-Мансийскому автономному округу, кор. счет 40102810245370000007, БИК 007162163, ОКТМО 71875000; </w:t>
      </w:r>
      <w:r w:rsidRPr="00726672">
        <w:rPr>
          <w:sz w:val="26"/>
          <w:szCs w:val="26"/>
          <w:lang w:eastAsia="ru-RU"/>
        </w:rPr>
        <w:t>КБК 72011601193010005140, УИН</w:t>
      </w:r>
      <w:r w:rsidRPr="00726672">
        <w:rPr>
          <w:sz w:val="26"/>
          <w:szCs w:val="26"/>
        </w:rPr>
        <w:t xml:space="preserve"> </w:t>
      </w:r>
      <w:r w:rsidRPr="00726672">
        <w:rPr>
          <w:sz w:val="26"/>
          <w:szCs w:val="26"/>
          <w:lang w:eastAsia="ru-RU"/>
        </w:rPr>
        <w:t>0412365400435</w:t>
      </w:r>
      <w:r w:rsidRPr="00726672">
        <w:rPr>
          <w:sz w:val="26"/>
          <w:szCs w:val="26"/>
          <w:lang w:eastAsia="ru-RU"/>
        </w:rPr>
        <w:t>009482419179</w:t>
      </w:r>
      <w:r w:rsidRPr="00BC5C3E">
        <w:rPr>
          <w:sz w:val="26"/>
          <w:szCs w:val="26"/>
          <w:lang w:eastAsia="ru-RU"/>
        </w:rPr>
        <w:t xml:space="preserve">. </w:t>
      </w: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</w:t>
      </w:r>
      <w:r w:rsidRPr="00726672">
        <w:rPr>
          <w:sz w:val="26"/>
          <w:szCs w:val="26"/>
        </w:rPr>
        <w:t xml:space="preserve">тсрочки или срока рассрочки, предусмотренных </w:t>
      </w:r>
      <w:hyperlink w:anchor="sub_315" w:history="1">
        <w:r w:rsidRPr="00726672">
          <w:rPr>
            <w:rStyle w:val="Hyperlink"/>
            <w:color w:val="auto"/>
            <w:sz w:val="26"/>
            <w:szCs w:val="26"/>
          </w:rPr>
          <w:t>ст. 31.5</w:t>
        </w:r>
      </w:hyperlink>
      <w:r w:rsidRPr="00726672">
        <w:rPr>
          <w:sz w:val="26"/>
          <w:szCs w:val="26"/>
        </w:rPr>
        <w:t xml:space="preserve"> Кодекса РФ об АП.</w:t>
      </w:r>
    </w:p>
    <w:p w:rsidR="00960E19" w:rsidRPr="00726672" w:rsidP="00DA59BE">
      <w:pPr>
        <w:pStyle w:val="BodyTextIndent"/>
        <w:tabs>
          <w:tab w:val="left" w:pos="4820"/>
        </w:tabs>
        <w:spacing w:after="0"/>
        <w:ind w:left="0" w:right="142" w:firstLine="540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</w:t>
      </w:r>
      <w:r w:rsidRPr="00726672">
        <w:rPr>
          <w:sz w:val="26"/>
          <w:szCs w:val="26"/>
        </w:rPr>
        <w:t>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60E19" w:rsidRPr="00726672" w:rsidP="00DA59BE">
      <w:pPr>
        <w:pStyle w:val="Heading1"/>
        <w:keepNext w:val="0"/>
        <w:tabs>
          <w:tab w:val="clear" w:pos="0"/>
        </w:tabs>
        <w:ind w:left="0" w:right="142" w:firstLine="567"/>
        <w:jc w:val="both"/>
        <w:rPr>
          <w:b w:val="0"/>
          <w:sz w:val="26"/>
          <w:szCs w:val="26"/>
        </w:rPr>
      </w:pPr>
      <w:r w:rsidRPr="00726672">
        <w:rPr>
          <w:b w:val="0"/>
          <w:sz w:val="26"/>
          <w:szCs w:val="26"/>
        </w:rPr>
        <w:t>Постановление может быть обжаловано в Нижневартовский городской суд ХМАО</w:t>
      </w:r>
      <w:r w:rsidRPr="00726672">
        <w:rPr>
          <w:b w:val="0"/>
          <w:sz w:val="26"/>
          <w:szCs w:val="26"/>
        </w:rPr>
        <w:t>-Югры в течение 10 суток через мирового судью, вынесшего постановление.</w:t>
      </w:r>
    </w:p>
    <w:p w:rsidR="00960E19" w:rsidRPr="00726672" w:rsidP="00960E19">
      <w:pPr>
        <w:ind w:right="140" w:firstLine="567"/>
        <w:rPr>
          <w:sz w:val="26"/>
          <w:szCs w:val="26"/>
        </w:rPr>
      </w:pP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ab/>
      </w:r>
      <w:r w:rsidRPr="00726672">
        <w:rPr>
          <w:sz w:val="26"/>
          <w:szCs w:val="26"/>
        </w:rPr>
        <w:tab/>
      </w:r>
      <w:r w:rsidRPr="00726672">
        <w:rPr>
          <w:sz w:val="26"/>
          <w:szCs w:val="26"/>
        </w:rPr>
        <w:tab/>
        <w:t xml:space="preserve">                      </w:t>
      </w:r>
    </w:p>
    <w:p w:rsidR="00F504A8" w:rsidRPr="00726672" w:rsidP="00F504A8">
      <w:pPr>
        <w:suppressAutoHyphens w:val="0"/>
        <w:ind w:right="14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*</w:t>
      </w:r>
    </w:p>
    <w:p w:rsidR="00F504A8" w:rsidRPr="00726672" w:rsidP="00F504A8">
      <w:pPr>
        <w:suppressAutoHyphens w:val="0"/>
        <w:ind w:right="140" w:firstLine="567"/>
        <w:jc w:val="both"/>
        <w:rPr>
          <w:sz w:val="26"/>
          <w:szCs w:val="26"/>
          <w:lang w:eastAsia="ru-RU"/>
        </w:rPr>
      </w:pPr>
      <w:r w:rsidRPr="00726672">
        <w:rPr>
          <w:sz w:val="26"/>
          <w:szCs w:val="26"/>
          <w:lang w:eastAsia="ru-RU"/>
        </w:rPr>
        <w:t>Мировой судья</w:t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</w:r>
      <w:r w:rsidRPr="00726672">
        <w:rPr>
          <w:sz w:val="26"/>
          <w:szCs w:val="26"/>
          <w:lang w:eastAsia="ru-RU"/>
        </w:rPr>
        <w:tab/>
        <w:t xml:space="preserve">Е.В. Дурдело </w:t>
      </w:r>
    </w:p>
    <w:p w:rsidR="00F504A8" w:rsidRPr="00726672" w:rsidP="00F504A8">
      <w:pPr>
        <w:suppressAutoHyphens w:val="0"/>
        <w:ind w:right="140" w:firstLine="567"/>
        <w:jc w:val="both"/>
        <w:rPr>
          <w:sz w:val="26"/>
          <w:szCs w:val="26"/>
          <w:lang w:eastAsia="ru-RU"/>
        </w:rPr>
      </w:pPr>
    </w:p>
    <w:p w:rsidR="00066775" w:rsidRPr="00726672" w:rsidP="00F504A8">
      <w:pPr>
        <w:suppressAutoHyphens w:val="0"/>
        <w:ind w:right="14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*</w:t>
      </w: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  <w:r w:rsidRPr="00726672">
        <w:rPr>
          <w:sz w:val="26"/>
          <w:szCs w:val="26"/>
        </w:rPr>
        <w:t xml:space="preserve"> </w:t>
      </w:r>
    </w:p>
    <w:p w:rsidR="00960E19" w:rsidRPr="00726672" w:rsidP="00960E19">
      <w:pPr>
        <w:suppressAutoHyphens w:val="0"/>
        <w:ind w:right="140" w:firstLine="567"/>
        <w:jc w:val="both"/>
        <w:rPr>
          <w:sz w:val="26"/>
          <w:szCs w:val="26"/>
          <w:lang w:eastAsia="ru-RU"/>
        </w:rPr>
      </w:pPr>
    </w:p>
    <w:p w:rsidR="00960E19" w:rsidRPr="00726672" w:rsidP="00960E19">
      <w:pPr>
        <w:ind w:right="140" w:firstLine="567"/>
        <w:jc w:val="both"/>
        <w:rPr>
          <w:sz w:val="26"/>
          <w:szCs w:val="26"/>
        </w:rPr>
      </w:pPr>
    </w:p>
    <w:p w:rsidR="00217C93" w:rsidRPr="00726672">
      <w:pPr>
        <w:rPr>
          <w:sz w:val="26"/>
          <w:szCs w:val="26"/>
        </w:rPr>
      </w:pPr>
    </w:p>
    <w:sectPr w:rsidSect="00FD4A24">
      <w:footerReference w:type="default" r:id="rId7"/>
      <w:pgSz w:w="11906" w:h="16838"/>
      <w:pgMar w:top="567" w:right="567" w:bottom="851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4DF6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3025" cy="171450"/>
              <wp:effectExtent l="8890" t="635" r="3810" b="889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DF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C9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75pt;height:13.5pt;margin-top:0.05pt;margin-left:533.9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A54DF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C9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55265498"/>
    <w:multiLevelType w:val="multilevel"/>
    <w:tmpl w:val="3C70FC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19"/>
    <w:rsid w:val="00041F4D"/>
    <w:rsid w:val="00066775"/>
    <w:rsid w:val="00074706"/>
    <w:rsid w:val="00095F27"/>
    <w:rsid w:val="0011469A"/>
    <w:rsid w:val="001929C5"/>
    <w:rsid w:val="001E21A1"/>
    <w:rsid w:val="00217C93"/>
    <w:rsid w:val="00285579"/>
    <w:rsid w:val="002955DE"/>
    <w:rsid w:val="003B1275"/>
    <w:rsid w:val="00404158"/>
    <w:rsid w:val="005C703D"/>
    <w:rsid w:val="005E042E"/>
    <w:rsid w:val="00665E1C"/>
    <w:rsid w:val="00726672"/>
    <w:rsid w:val="00772C9F"/>
    <w:rsid w:val="00775282"/>
    <w:rsid w:val="00817445"/>
    <w:rsid w:val="008917AF"/>
    <w:rsid w:val="00907FD1"/>
    <w:rsid w:val="00960E19"/>
    <w:rsid w:val="009E4B2F"/>
    <w:rsid w:val="00A54DF6"/>
    <w:rsid w:val="00BC5C3E"/>
    <w:rsid w:val="00C64274"/>
    <w:rsid w:val="00D24A67"/>
    <w:rsid w:val="00DA59BE"/>
    <w:rsid w:val="00F40D5D"/>
    <w:rsid w:val="00F504A8"/>
    <w:rsid w:val="00FC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2AEDFE-F0E1-4762-9178-A3900A1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960E19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960E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60E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960E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ageNumber">
    <w:name w:val="page number"/>
    <w:basedOn w:val="DefaultParagraphFont"/>
    <w:rsid w:val="00960E19"/>
  </w:style>
  <w:style w:type="character" w:styleId="Hyperlink">
    <w:name w:val="Hyperlink"/>
    <w:rsid w:val="00960E19"/>
    <w:rPr>
      <w:color w:val="000080"/>
      <w:u w:val="single"/>
    </w:rPr>
  </w:style>
  <w:style w:type="paragraph" w:styleId="BodyText">
    <w:name w:val="Body Text"/>
    <w:basedOn w:val="Normal"/>
    <w:link w:val="a"/>
    <w:rsid w:val="00960E1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60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0"/>
    <w:rsid w:val="00960E19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60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1"/>
    <w:rsid w:val="00960E1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960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">
    <w:name w:val="Заголовок статьи"/>
    <w:basedOn w:val="Normal"/>
    <w:next w:val="Normal"/>
    <w:rsid w:val="00960E19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3">
    <w:name w:val="Основной текст_"/>
    <w:basedOn w:val="DefaultParagraphFont"/>
    <w:link w:val="30"/>
    <w:rsid w:val="008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rsid w:val="00817445"/>
    <w:rPr>
      <w:rFonts w:ascii="Century Schoolbook" w:eastAsia="Century Schoolbook" w:hAnsi="Century Schoolbook" w:cs="Century Schoolbook"/>
      <w:spacing w:val="-10"/>
      <w:shd w:val="clear" w:color="auto" w:fill="FFFFFF"/>
    </w:rPr>
  </w:style>
  <w:style w:type="character" w:customStyle="1" w:styleId="20">
    <w:name w:val="Основной текст (2) + Полужирный"/>
    <w:basedOn w:val="DefaultParagraphFont"/>
    <w:rsid w:val="00817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11pt0pt">
    <w:name w:val="Основной текст + 11 pt;Интервал 0 pt"/>
    <w:basedOn w:val="a3"/>
    <w:rsid w:val="00817445"/>
    <w:rPr>
      <w:rFonts w:ascii="Century Schoolbook" w:eastAsia="Century Schoolbook" w:hAnsi="Century Schoolbook" w:cs="Century Schoolbook"/>
      <w:spacing w:val="-1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3"/>
    <w:rsid w:val="00817445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">
    <w:name w:val="Основной текст1"/>
    <w:basedOn w:val="a3"/>
    <w:rsid w:val="008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8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3"/>
    <w:basedOn w:val="Normal"/>
    <w:link w:val="a3"/>
    <w:rsid w:val="00817445"/>
    <w:pPr>
      <w:shd w:val="clear" w:color="auto" w:fill="FFFFFF"/>
      <w:suppressAutoHyphens w:val="0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1">
    <w:name w:val="Основной текст (3)"/>
    <w:basedOn w:val="Normal"/>
    <w:link w:val="3"/>
    <w:rsid w:val="00817445"/>
    <w:pPr>
      <w:shd w:val="clear" w:color="auto" w:fill="FFFFFF"/>
      <w:suppressAutoHyphens w:val="0"/>
      <w:spacing w:line="278" w:lineRule="exact"/>
      <w:jc w:val="both"/>
    </w:pPr>
    <w:rPr>
      <w:rFonts w:ascii="Century Schoolbook" w:eastAsia="Century Schoolbook" w:hAnsi="Century Schoolbook" w:cs="Century Schoolbook"/>
      <w:spacing w:val="-10"/>
      <w:sz w:val="22"/>
      <w:szCs w:val="22"/>
      <w:lang w:eastAsia="en-US"/>
    </w:rPr>
  </w:style>
  <w:style w:type="paragraph" w:styleId="BalloonText">
    <w:name w:val="Balloon Text"/>
    <w:basedOn w:val="Normal"/>
    <w:link w:val="a4"/>
    <w:uiPriority w:val="99"/>
    <w:semiHidden/>
    <w:unhideWhenUsed/>
    <w:rsid w:val="00066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667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9501" TargetMode="External" /><Relationship Id="rId6" Type="http://schemas.openxmlformats.org/officeDocument/2006/relationships/hyperlink" Target="http://www.consultant.ru/document/cons_doc_LAW_211005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E386-0E9B-43C4-B73A-E5E90E4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